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E21B73" w:rsidRDefault="00DB4809" w:rsidP="00EB7906">
      <w:r>
        <w:t>11/29</w:t>
      </w:r>
      <w:r w:rsidR="00DA50BC">
        <w:t>/2019</w:t>
      </w:r>
    </w:p>
    <w:p w:rsidR="00C00230" w:rsidRDefault="00C00230" w:rsidP="00EB7906"/>
    <w:p w:rsidR="00C00230" w:rsidRDefault="00C00230" w:rsidP="00C00230">
      <w:pPr>
        <w:spacing w:after="120"/>
        <w:jc w:val="center"/>
        <w:rPr>
          <w:rFonts w:ascii="Albertus (W1)" w:hAnsi="Albertus (W1)" w:cs="Arial"/>
          <w:color w:val="000000"/>
          <w:sz w:val="32"/>
          <w:szCs w:val="32"/>
          <w:u w:val="single"/>
        </w:rPr>
      </w:pPr>
      <w:r>
        <w:rPr>
          <w:rFonts w:ascii="Albertus (W1)" w:hAnsi="Albertus (W1)" w:cs="Arial"/>
          <w:color w:val="000000"/>
          <w:sz w:val="32"/>
          <w:szCs w:val="32"/>
          <w:u w:val="single"/>
        </w:rPr>
        <w:t>GENERAL SAFETY</w:t>
      </w:r>
    </w:p>
    <w:p w:rsidR="00C00230" w:rsidRDefault="00C00230" w:rsidP="00C00230">
      <w:pPr>
        <w:jc w:val="center"/>
        <w:rPr>
          <w:rFonts w:ascii="Albertus (W1)" w:hAnsi="Albertus (W1)" w:cs="Arial"/>
          <w:color w:val="000000"/>
          <w:sz w:val="32"/>
          <w:szCs w:val="32"/>
        </w:rPr>
      </w:pPr>
      <w:r>
        <w:rPr>
          <w:rFonts w:ascii="Albertus (W1)" w:hAnsi="Albertus (W1)" w:cs="Arial"/>
          <w:color w:val="000000"/>
          <w:sz w:val="32"/>
          <w:szCs w:val="32"/>
        </w:rPr>
        <w:t>IF IT DOESN’T LOOK RIGHT DON’T RELENT</w:t>
      </w:r>
    </w:p>
    <w:p w:rsidR="00C00230" w:rsidRDefault="00C00230" w:rsidP="00C00230">
      <w:pPr>
        <w:jc w:val="center"/>
        <w:rPr>
          <w:rFonts w:ascii="Albertus (W1)" w:hAnsi="Albertus (W1)" w:cs="Arial"/>
          <w:color w:val="000000"/>
          <w:sz w:val="32"/>
          <w:szCs w:val="32"/>
        </w:rPr>
      </w:pPr>
      <w:r>
        <w:rPr>
          <w:rFonts w:ascii="Albertus (W1)" w:hAnsi="Albertus (W1)" w:cs="Arial"/>
          <w:color w:val="000000"/>
          <w:sz w:val="32"/>
          <w:szCs w:val="32"/>
        </w:rPr>
        <w:t>SAYING NOTHING IS GIVING SILENT CONSENT</w:t>
      </w:r>
    </w:p>
    <w:p w:rsidR="00C00230" w:rsidRDefault="00C00230" w:rsidP="00C00230">
      <w:pPr>
        <w:jc w:val="center"/>
        <w:rPr>
          <w:rFonts w:ascii="Albertus (W1)" w:hAnsi="Albertus (W1)"/>
          <w:color w:val="000000"/>
          <w:sz w:val="28"/>
          <w:szCs w:val="28"/>
        </w:rPr>
      </w:pPr>
      <w:r>
        <w:rPr>
          <w:rFonts w:ascii="Albertus (W1)" w:hAnsi="Albertus (W1)"/>
          <w:noProof/>
          <w:color w:val="000000"/>
          <w:sz w:val="28"/>
          <w:szCs w:val="28"/>
        </w:rPr>
        <w:drawing>
          <wp:inline distT="0" distB="0" distL="0" distR="0">
            <wp:extent cx="19621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p>
    <w:p w:rsidR="00C00230" w:rsidRDefault="00C00230" w:rsidP="00C00230">
      <w:pPr>
        <w:spacing w:after="120"/>
        <w:jc w:val="center"/>
        <w:rPr>
          <w:rFonts w:ascii="Albertus (W1)" w:hAnsi="Albertus (W1)"/>
          <w:color w:val="FF0000"/>
          <w:sz w:val="28"/>
          <w:szCs w:val="28"/>
        </w:rPr>
      </w:pPr>
      <w:r>
        <w:rPr>
          <w:rFonts w:ascii="Albertus (W1)" w:hAnsi="Albertus (W1)"/>
          <w:color w:val="FF0000"/>
          <w:sz w:val="28"/>
          <w:szCs w:val="28"/>
        </w:rPr>
        <w:t>How would you define “Silent Consent”?</w:t>
      </w:r>
    </w:p>
    <w:p w:rsidR="00C00230" w:rsidRDefault="00C00230" w:rsidP="00C00230">
      <w:pPr>
        <w:spacing w:after="100"/>
        <w:jc w:val="both"/>
        <w:rPr>
          <w:rFonts w:ascii="Albertus (W1)" w:hAnsi="Albertus (W1)"/>
          <w:color w:val="000000"/>
          <w:sz w:val="28"/>
          <w:szCs w:val="28"/>
        </w:rPr>
      </w:pPr>
    </w:p>
    <w:p w:rsidR="00C00230" w:rsidRDefault="00C00230" w:rsidP="00C00230">
      <w:pPr>
        <w:spacing w:after="100"/>
        <w:jc w:val="both"/>
        <w:rPr>
          <w:rFonts w:ascii="Albertus (W1)" w:hAnsi="Albertus (W1)"/>
        </w:rPr>
      </w:pPr>
      <w:r>
        <w:rPr>
          <w:rFonts w:ascii="Albertus (W1)" w:hAnsi="Albertus (W1)"/>
          <w:color w:val="000000"/>
        </w:rPr>
        <w:t>“Silent Consent” is allowing a condition</w:t>
      </w:r>
      <w:r>
        <w:rPr>
          <w:rFonts w:ascii="Albertus (W1)" w:hAnsi="Albertus (W1)"/>
        </w:rPr>
        <w:t xml:space="preserve"> to exist or allowing a practice to continue without speaking up or without acting on it.  Every time we walk past something that doesn’t conform to a requirement or expectation and do nothing, we give silent consent which essentially creates a new acceptable </w:t>
      </w:r>
      <w:r>
        <w:rPr>
          <w:rFonts w:ascii="Albertus (W1)" w:hAnsi="Albertus (W1)"/>
          <w:bCs/>
          <w:iCs/>
        </w:rPr>
        <w:t>and lower</w:t>
      </w:r>
      <w:r>
        <w:rPr>
          <w:rFonts w:ascii="Albertus (W1)" w:hAnsi="Albertus (W1)"/>
        </w:rPr>
        <w:t xml:space="preserve"> safety standard.</w:t>
      </w:r>
    </w:p>
    <w:p w:rsidR="00C00230" w:rsidRDefault="00C00230" w:rsidP="00C00230">
      <w:pPr>
        <w:spacing w:after="100"/>
        <w:jc w:val="both"/>
        <w:rPr>
          <w:rFonts w:ascii="Albertus (W1)" w:hAnsi="Albertus (W1)"/>
        </w:rPr>
      </w:pPr>
    </w:p>
    <w:p w:rsidR="00C00230" w:rsidRDefault="00C00230" w:rsidP="00C00230">
      <w:pPr>
        <w:spacing w:after="100"/>
        <w:jc w:val="both"/>
        <w:rPr>
          <w:rFonts w:ascii="Albertus (W1)" w:hAnsi="Albertus (W1)"/>
        </w:rPr>
      </w:pPr>
      <w:r>
        <w:rPr>
          <w:rFonts w:ascii="Albertus (W1)" w:hAnsi="Albertus (W1)"/>
        </w:rPr>
        <w:t>Consider a safety hazard that may be created by your actions and what about the people who see the hazard but do nothing about it?  What new safety “standard” did they each set?</w:t>
      </w:r>
    </w:p>
    <w:p w:rsidR="00C00230" w:rsidRDefault="00C00230" w:rsidP="00C00230">
      <w:pPr>
        <w:spacing w:after="100"/>
        <w:jc w:val="both"/>
        <w:rPr>
          <w:rFonts w:ascii="Albertus (W1)" w:hAnsi="Albertus (W1)"/>
        </w:rPr>
      </w:pPr>
    </w:p>
    <w:p w:rsidR="00C00230" w:rsidRDefault="00C00230" w:rsidP="00C00230">
      <w:pPr>
        <w:spacing w:after="100"/>
        <w:jc w:val="both"/>
        <w:rPr>
          <w:rFonts w:ascii="Albertus (W1)" w:hAnsi="Albertus (W1)"/>
        </w:rPr>
      </w:pPr>
      <w:r>
        <w:rPr>
          <w:rFonts w:ascii="Albertus (W1)" w:hAnsi="Albertus (W1)"/>
        </w:rPr>
        <w:t>Could we find conditions here on our jobsite where a job was poorly executed which then created a hazard because no one acted to correct it?  Are we giving Silent Consent to practices and conditions that we know do not conform to a requirement?</w:t>
      </w:r>
    </w:p>
    <w:p w:rsidR="00C00230" w:rsidRDefault="00C00230" w:rsidP="00C00230">
      <w:pPr>
        <w:spacing w:after="100"/>
        <w:jc w:val="both"/>
        <w:rPr>
          <w:rFonts w:ascii="Albertus (W1)" w:hAnsi="Albertus (W1)"/>
        </w:rPr>
      </w:pPr>
    </w:p>
    <w:p w:rsidR="00C00230" w:rsidRDefault="00C00230" w:rsidP="00C00230">
      <w:pPr>
        <w:spacing w:after="100"/>
        <w:jc w:val="both"/>
        <w:rPr>
          <w:rFonts w:ascii="Albertus (W1)" w:hAnsi="Albertus (W1)"/>
        </w:rPr>
      </w:pPr>
      <w:r>
        <w:rPr>
          <w:rFonts w:ascii="Albertus (W1)" w:hAnsi="Albertus (W1)"/>
        </w:rPr>
        <w:t>There can be many reasons given for looking the other way, e.g., “It was never a problem before”; “The job got done, didn’t it”; or “We didn’t want to create more work”.  Some of these may even seem to have legitimacy.  But can any of them legitimize an injury caused by inattention to a requirement?</w:t>
      </w:r>
    </w:p>
    <w:p w:rsidR="00C00230" w:rsidRDefault="00C00230" w:rsidP="00C00230">
      <w:pPr>
        <w:spacing w:after="100"/>
        <w:jc w:val="both"/>
        <w:rPr>
          <w:rFonts w:ascii="Albertus (W1)" w:hAnsi="Albertus (W1)"/>
          <w:lang w:val="en-GB"/>
        </w:rPr>
      </w:pPr>
    </w:p>
    <w:p w:rsidR="00C00230" w:rsidRPr="00C00230" w:rsidRDefault="00C00230" w:rsidP="00C00230">
      <w:pPr>
        <w:spacing w:after="100"/>
        <w:jc w:val="both"/>
        <w:rPr>
          <w:rFonts w:ascii="Albertus (W1)" w:hAnsi="Albertus (W1)"/>
          <w:b/>
          <w:lang w:val="en-GB"/>
        </w:rPr>
      </w:pPr>
      <w:r w:rsidRPr="00C00230">
        <w:rPr>
          <w:rFonts w:ascii="Albertus (W1)" w:hAnsi="Albertus (W1)"/>
          <w:b/>
          <w:lang w:val="en-GB"/>
        </w:rPr>
        <w:t xml:space="preserve"> C</w:t>
      </w:r>
      <w:r w:rsidRPr="00C00230">
        <w:rPr>
          <w:rFonts w:ascii="Albertus (W1)" w:hAnsi="Albertus (W1)"/>
          <w:b/>
          <w:lang w:val="en-GB"/>
        </w:rPr>
        <w:t xml:space="preserve">ommit to acting when something doesn’t look right. </w:t>
      </w:r>
    </w:p>
    <w:p w:rsidR="00C00230" w:rsidRDefault="00C00230" w:rsidP="00C00230">
      <w:pPr>
        <w:spacing w:before="100" w:beforeAutospacing="1" w:after="100" w:afterAutospacing="1"/>
        <w:rPr>
          <w:lang w:val="en-GB"/>
        </w:rPr>
      </w:pPr>
      <w:bookmarkStart w:id="0" w:name="_GoBack"/>
      <w:bookmarkEnd w:id="0"/>
    </w:p>
    <w:p w:rsidR="00C00230" w:rsidRDefault="00C00230" w:rsidP="00EB7906"/>
    <w:p w:rsidR="0019772F" w:rsidRDefault="0019772F" w:rsidP="00EB7906"/>
    <w:p w:rsidR="0019772F" w:rsidRDefault="0019772F" w:rsidP="00EB7906"/>
    <w:p w:rsidR="00313A94" w:rsidRDefault="00313A94" w:rsidP="00EB7906"/>
    <w:p w:rsidR="00313A94" w:rsidRPr="00313A94" w:rsidRDefault="00313A94" w:rsidP="00B421CD">
      <w:pPr>
        <w:spacing w:after="120"/>
      </w:pPr>
      <w:r w:rsidRPr="00313A94">
        <w:rPr>
          <w:b/>
          <w:bCs/>
          <w:color w:val="000000"/>
          <w:sz w:val="32"/>
          <w:szCs w:val="32"/>
        </w:rPr>
        <w:lastRenderedPageBreak/>
        <w:t xml:space="preserve">                                         </w:t>
      </w:r>
      <w:r>
        <w:rPr>
          <w:b/>
          <w:bCs/>
          <w:color w:val="000000"/>
          <w:sz w:val="32"/>
          <w:szCs w:val="32"/>
        </w:rPr>
        <w:t xml:space="preserve">         </w:t>
      </w:r>
    </w:p>
    <w:p w:rsidR="00313A94" w:rsidRPr="00313A94" w:rsidRDefault="00313A94" w:rsidP="00EB7906">
      <w:pPr>
        <w:rPr>
          <w:lang w:val="en-GB"/>
        </w:rPr>
      </w:pPr>
    </w:p>
    <w:p w:rsidR="00E21B73" w:rsidRDefault="00E21B73" w:rsidP="00E21B73">
      <w:pPr>
        <w:spacing w:before="100" w:beforeAutospacing="1" w:after="100" w:afterAutospacing="1"/>
        <w:rPr>
          <w:lang w:val="en-GB"/>
        </w:rPr>
      </w:pPr>
    </w:p>
    <w:p w:rsidR="00E21B73" w:rsidRDefault="00E21B73" w:rsidP="00E21B73"/>
    <w:p w:rsidR="00E21B73" w:rsidRDefault="00E21B73" w:rsidP="00E21B73"/>
    <w:p w:rsidR="00E21B73" w:rsidRDefault="00E21B73" w:rsidP="00E21B73"/>
    <w:p w:rsidR="00E21B73" w:rsidRDefault="00E21B73" w:rsidP="00E21B73"/>
    <w:p w:rsidR="00E21B73" w:rsidRDefault="00E21B73" w:rsidP="00E21B73"/>
    <w:p w:rsidR="00E21B73" w:rsidRDefault="00E21B73" w:rsidP="00E21B73"/>
    <w:p w:rsidR="00E21B73" w:rsidRDefault="00E21B73" w:rsidP="00E21B73">
      <w:pPr>
        <w:tabs>
          <w:tab w:val="left" w:pos="2753"/>
        </w:tabs>
      </w:pPr>
      <w:r>
        <w:tab/>
      </w:r>
    </w:p>
    <w:p w:rsidR="00E21B73" w:rsidRPr="00624D59" w:rsidRDefault="00E21B73" w:rsidP="00624D59">
      <w:pPr>
        <w:pStyle w:val="NormalWeb"/>
        <w:shd w:val="clear" w:color="auto" w:fill="FFFFFF"/>
        <w:rPr>
          <w:rFonts w:ascii="Open Sans" w:hAnsi="Open Sans" w:cs="Arial"/>
          <w:b/>
          <w:sz w:val="36"/>
          <w:szCs w:val="36"/>
          <w:u w:val="single"/>
          <w:lang w:val="en"/>
        </w:rPr>
      </w:pPr>
    </w:p>
    <w:p w:rsidR="00C42E2A" w:rsidRDefault="00C42E2A" w:rsidP="00C42E2A">
      <w:pPr>
        <w:spacing w:after="360"/>
        <w:rPr>
          <w:rFonts w:ascii="Open Sans" w:hAnsi="Open Sans" w:cs="Segoe UI"/>
          <w:b/>
          <w:color w:val="323232"/>
        </w:rPr>
      </w:pPr>
    </w:p>
    <w:sectPr w:rsidR="00C42E2A" w:rsidSect="001D1F56">
      <w:headerReference w:type="default" r:id="rId12"/>
      <w:footerReference w:type="default" r:id="rId13"/>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8E" w:rsidRDefault="00756B8E">
      <w:r>
        <w:separator/>
      </w:r>
    </w:p>
  </w:endnote>
  <w:endnote w:type="continuationSeparator" w:id="0">
    <w:p w:rsidR="00756B8E" w:rsidRDefault="007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8E" w:rsidRDefault="00756B8E">
      <w:r>
        <w:separator/>
      </w:r>
    </w:p>
  </w:footnote>
  <w:footnote w:type="continuationSeparator" w:id="0">
    <w:p w:rsidR="00756B8E" w:rsidRDefault="00756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46AE3"/>
    <w:multiLevelType w:val="multilevel"/>
    <w:tmpl w:val="AC665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2F0"/>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3E8"/>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711"/>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72F"/>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1C"/>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284"/>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6A0"/>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079"/>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14"/>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0E9"/>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249"/>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A94"/>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0AC"/>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3C7E"/>
    <w:rsid w:val="004143FB"/>
    <w:rsid w:val="004145BD"/>
    <w:rsid w:val="00414869"/>
    <w:rsid w:val="00414B78"/>
    <w:rsid w:val="0041547A"/>
    <w:rsid w:val="00415B02"/>
    <w:rsid w:val="00415B73"/>
    <w:rsid w:val="00416B04"/>
    <w:rsid w:val="00416BA4"/>
    <w:rsid w:val="00416C9E"/>
    <w:rsid w:val="004173E5"/>
    <w:rsid w:val="0042005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D59"/>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77C"/>
    <w:rsid w:val="00645D55"/>
    <w:rsid w:val="006462E2"/>
    <w:rsid w:val="006473C8"/>
    <w:rsid w:val="00647677"/>
    <w:rsid w:val="00647708"/>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2B6"/>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2FA6"/>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374F6"/>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B8E"/>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981"/>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CE3"/>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B28"/>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712"/>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3BE0"/>
    <w:rsid w:val="00873C7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0D7"/>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0E40"/>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386"/>
    <w:rsid w:val="009B661E"/>
    <w:rsid w:val="009B68A4"/>
    <w:rsid w:val="009B7201"/>
    <w:rsid w:val="009B78BB"/>
    <w:rsid w:val="009C0643"/>
    <w:rsid w:val="009C06ED"/>
    <w:rsid w:val="009C0E49"/>
    <w:rsid w:val="009C112B"/>
    <w:rsid w:val="009C12F4"/>
    <w:rsid w:val="009C2D7B"/>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6FF5"/>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73D"/>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0D3"/>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2EA"/>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5DD"/>
    <w:rsid w:val="00AC5973"/>
    <w:rsid w:val="00AC5C6A"/>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D2F"/>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1CD"/>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3F58"/>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230"/>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34"/>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2A"/>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C88"/>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3D0F"/>
    <w:rsid w:val="00CD427A"/>
    <w:rsid w:val="00CD488E"/>
    <w:rsid w:val="00CD4C32"/>
    <w:rsid w:val="00CD4D3D"/>
    <w:rsid w:val="00CD5568"/>
    <w:rsid w:val="00CD65DA"/>
    <w:rsid w:val="00CD66B0"/>
    <w:rsid w:val="00CD6CAD"/>
    <w:rsid w:val="00CD6E64"/>
    <w:rsid w:val="00CD6ED9"/>
    <w:rsid w:val="00CD7860"/>
    <w:rsid w:val="00CE056E"/>
    <w:rsid w:val="00CE11ED"/>
    <w:rsid w:val="00CE13D8"/>
    <w:rsid w:val="00CE18F4"/>
    <w:rsid w:val="00CE1BD7"/>
    <w:rsid w:val="00CE1C14"/>
    <w:rsid w:val="00CE1C9D"/>
    <w:rsid w:val="00CE2AB0"/>
    <w:rsid w:val="00CE2F3F"/>
    <w:rsid w:val="00CE2FB1"/>
    <w:rsid w:val="00CE3118"/>
    <w:rsid w:val="00CE3665"/>
    <w:rsid w:val="00CE383E"/>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3FF"/>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2EF2"/>
    <w:rsid w:val="00D73682"/>
    <w:rsid w:val="00D73E23"/>
    <w:rsid w:val="00D73F21"/>
    <w:rsid w:val="00D73F62"/>
    <w:rsid w:val="00D73FC4"/>
    <w:rsid w:val="00D7488B"/>
    <w:rsid w:val="00D7505E"/>
    <w:rsid w:val="00D7533E"/>
    <w:rsid w:val="00D75C61"/>
    <w:rsid w:val="00D76124"/>
    <w:rsid w:val="00D772F0"/>
    <w:rsid w:val="00D80325"/>
    <w:rsid w:val="00D805F3"/>
    <w:rsid w:val="00D817CD"/>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0BC"/>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809"/>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751"/>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1B73"/>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64"/>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055"/>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B7906"/>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2A63"/>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6F4F"/>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CDB"/>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C0"/>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B7CE3"/>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C42E2A"/>
    <w:rPr>
      <w:b/>
      <w:bCs/>
    </w:rPr>
  </w:style>
  <w:style w:type="paragraph" w:customStyle="1" w:styleId="Style2">
    <w:name w:val="Style2"/>
    <w:basedOn w:val="Normal"/>
    <w:rsid w:val="00E21B73"/>
    <w:pPr>
      <w:tabs>
        <w:tab w:val="left" w:leader="dot" w:pos="5760"/>
        <w:tab w:val="left" w:pos="8730"/>
        <w:tab w:val="right" w:pos="9900"/>
      </w:tabs>
      <w:spacing w:after="120"/>
      <w:ind w:left="1080" w:hanging="540"/>
      <w:jc w:val="both"/>
    </w:pPr>
    <w:rPr>
      <w:rFonts w:ascii="Helv" w:hAnsi="Helv"/>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421">
      <w:bodyDiv w:val="1"/>
      <w:marLeft w:val="0"/>
      <w:marRight w:val="0"/>
      <w:marTop w:val="0"/>
      <w:marBottom w:val="0"/>
      <w:divBdr>
        <w:top w:val="none" w:sz="0" w:space="0" w:color="auto"/>
        <w:left w:val="none" w:sz="0" w:space="0" w:color="auto"/>
        <w:bottom w:val="none" w:sz="0" w:space="0" w:color="auto"/>
        <w:right w:val="none" w:sz="0" w:space="0" w:color="auto"/>
      </w:divBdr>
    </w:div>
    <w:div w:id="298806041">
      <w:bodyDiv w:val="1"/>
      <w:marLeft w:val="0"/>
      <w:marRight w:val="0"/>
      <w:marTop w:val="0"/>
      <w:marBottom w:val="0"/>
      <w:divBdr>
        <w:top w:val="none" w:sz="0" w:space="0" w:color="auto"/>
        <w:left w:val="none" w:sz="0" w:space="0" w:color="auto"/>
        <w:bottom w:val="none" w:sz="0" w:space="0" w:color="auto"/>
        <w:right w:val="none" w:sz="0" w:space="0" w:color="auto"/>
      </w:divBdr>
    </w:div>
    <w:div w:id="458644490">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479079985">
      <w:bodyDiv w:val="1"/>
      <w:marLeft w:val="0"/>
      <w:marRight w:val="0"/>
      <w:marTop w:val="0"/>
      <w:marBottom w:val="0"/>
      <w:divBdr>
        <w:top w:val="none" w:sz="0" w:space="0" w:color="auto"/>
        <w:left w:val="none" w:sz="0" w:space="0" w:color="auto"/>
        <w:bottom w:val="none" w:sz="0" w:space="0" w:color="auto"/>
        <w:right w:val="none" w:sz="0" w:space="0" w:color="auto"/>
      </w:divBdr>
    </w:div>
    <w:div w:id="1425806302">
      <w:bodyDiv w:val="1"/>
      <w:marLeft w:val="0"/>
      <w:marRight w:val="0"/>
      <w:marTop w:val="0"/>
      <w:marBottom w:val="0"/>
      <w:divBdr>
        <w:top w:val="none" w:sz="0" w:space="0" w:color="auto"/>
        <w:left w:val="none" w:sz="0" w:space="0" w:color="auto"/>
        <w:bottom w:val="none" w:sz="0" w:space="0" w:color="auto"/>
        <w:right w:val="none" w:sz="0" w:space="0" w:color="auto"/>
      </w:divBdr>
    </w:div>
    <w:div w:id="1541282801">
      <w:bodyDiv w:val="1"/>
      <w:marLeft w:val="0"/>
      <w:marRight w:val="0"/>
      <w:marTop w:val="0"/>
      <w:marBottom w:val="0"/>
      <w:divBdr>
        <w:top w:val="none" w:sz="0" w:space="0" w:color="auto"/>
        <w:left w:val="none" w:sz="0" w:space="0" w:color="auto"/>
        <w:bottom w:val="none" w:sz="0" w:space="0" w:color="auto"/>
        <w:right w:val="none" w:sz="0" w:space="0" w:color="auto"/>
      </w:divBdr>
      <w:divsChild>
        <w:div w:id="432482129">
          <w:marLeft w:val="0"/>
          <w:marRight w:val="0"/>
          <w:marTop w:val="0"/>
          <w:marBottom w:val="0"/>
          <w:divBdr>
            <w:top w:val="none" w:sz="0" w:space="0" w:color="auto"/>
            <w:left w:val="none" w:sz="0" w:space="0" w:color="auto"/>
            <w:bottom w:val="none" w:sz="0" w:space="0" w:color="auto"/>
            <w:right w:val="none" w:sz="0" w:space="0" w:color="auto"/>
          </w:divBdr>
          <w:divsChild>
            <w:div w:id="1298493619">
              <w:marLeft w:val="0"/>
              <w:marRight w:val="0"/>
              <w:marTop w:val="0"/>
              <w:marBottom w:val="0"/>
              <w:divBdr>
                <w:top w:val="none" w:sz="0" w:space="0" w:color="auto"/>
                <w:left w:val="none" w:sz="0" w:space="0" w:color="auto"/>
                <w:bottom w:val="none" w:sz="0" w:space="0" w:color="auto"/>
                <w:right w:val="none" w:sz="0" w:space="0" w:color="auto"/>
              </w:divBdr>
              <w:divsChild>
                <w:div w:id="1379625616">
                  <w:marLeft w:val="0"/>
                  <w:marRight w:val="0"/>
                  <w:marTop w:val="540"/>
                  <w:marBottom w:val="54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1376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FDB61C89-0B33-434D-84E2-83459ECE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43</cp:revision>
  <cp:lastPrinted>2018-09-27T13:34:00Z</cp:lastPrinted>
  <dcterms:created xsi:type="dcterms:W3CDTF">2019-09-09T18:37:00Z</dcterms:created>
  <dcterms:modified xsi:type="dcterms:W3CDTF">2019-11-21T14:35:00Z</dcterms:modified>
</cp:coreProperties>
</file>